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ФЕДЕРАЛЬНОЕ АГЕНТСТВО ПО РЫБОЛОВСТВУ</w:t>
      </w:r>
    </w:p>
    <w:p>
      <w:pPr>
        <w:pStyle w:val="Normal"/>
        <w:jc w:val="center"/>
        <w:rPr>
          <w:b/>
          <w:b/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(РОСРЫБОЛОВСТВО)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2"/>
        <w:spacing w:before="120" w:after="0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научное учреждение</w:t>
      </w:r>
    </w:p>
    <w:p>
      <w:pPr>
        <w:pStyle w:val="Normal"/>
        <w:ind w:right="-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«Азовский научно-исследовательский институт рыбного хозяйства» </w:t>
      </w:r>
    </w:p>
    <w:p>
      <w:pPr>
        <w:pStyle w:val="Normal"/>
        <w:ind w:right="-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(ФГБНУ «АзНИИРХ»)</w:t>
      </w:r>
    </w:p>
    <w:p>
      <w:pPr>
        <w:pStyle w:val="Normal"/>
        <w:ind w:right="-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right="-1" w:hanging="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Керченский филиал («ЮгНИРО») ФГБНУ «АзНИИРХ»</w:t>
      </w:r>
    </w:p>
    <w:p>
      <w:pPr>
        <w:pStyle w:val="Normal"/>
        <w:ind w:right="-1" w:hanging="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ind w:right="-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IX</w:t>
      </w:r>
      <w:r>
        <w:rPr>
          <w:b/>
          <w:sz w:val="24"/>
          <w:szCs w:val="24"/>
        </w:rPr>
        <w:t xml:space="preserve"> Международная научно-практическая конференция</w:t>
      </w:r>
    </w:p>
    <w:p>
      <w:pPr>
        <w:pStyle w:val="Normal"/>
        <w:ind w:right="-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color w:val="0000FF"/>
          <w:sz w:val="26"/>
          <w:szCs w:val="26"/>
        </w:rPr>
      </w:pPr>
      <w:r>
        <w:rPr>
          <w:b/>
          <w:color w:val="0000FF"/>
          <w:sz w:val="26"/>
          <w:szCs w:val="26"/>
        </w:rPr>
        <w:t>«</w:t>
      </w:r>
      <w:r>
        <w:rPr>
          <w:b/>
          <w:color w:val="0000FF"/>
          <w:sz w:val="32"/>
          <w:szCs w:val="32"/>
        </w:rPr>
        <w:t>Современные рыбохозяйственные и экологические проблемы</w:t>
        <w:br/>
        <w:t>Азово-Черноморского региона</w:t>
      </w:r>
      <w:r>
        <w:rPr>
          <w:b/>
          <w:color w:val="0000FF"/>
          <w:sz w:val="26"/>
          <w:szCs w:val="26"/>
        </w:rPr>
        <w:t>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октябрь 2017 г</w:t>
      </w:r>
      <w:r>
        <w:rPr>
          <w:sz w:val="26"/>
          <w:szCs w:val="26"/>
        </w:rPr>
        <w:t xml:space="preserve">., 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>
        <w:rPr/>
        <w:t>дата будет уточнена</w:t>
      </w:r>
      <w:r>
        <w:rPr>
          <w:sz w:val="26"/>
          <w:szCs w:val="26"/>
        </w:rPr>
        <w:t>)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г. Керчь</w:t>
      </w:r>
    </w:p>
    <w:p>
      <w:pPr>
        <w:pStyle w:val="Default"/>
        <w:rPr>
          <w:color w:val="00000A"/>
        </w:rPr>
      </w:pPr>
      <w:r>
        <w:rPr>
          <w:color w:val="00000A"/>
        </w:rPr>
      </w:r>
    </w:p>
    <w:p>
      <w:pPr>
        <w:pStyle w:val="Default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  <w:t>ПЕРВОЕ ИНФОРМАЦИОННОЕ СООБЩЕНИЕ</w:t>
      </w:r>
    </w:p>
    <w:p>
      <w:pPr>
        <w:pStyle w:val="Default"/>
        <w:jc w:val="center"/>
        <w:rPr>
          <w:color w:val="00000A"/>
        </w:rPr>
      </w:pPr>
      <w:r>
        <w:rPr>
          <w:color w:val="00000A"/>
        </w:rPr>
      </w:r>
    </w:p>
    <w:p>
      <w:pPr>
        <w:pStyle w:val="Normal"/>
        <w:ind w:firstLine="567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Глубокоуважаемые коллеги!</w:t>
      </w:r>
    </w:p>
    <w:p>
      <w:pPr>
        <w:pStyle w:val="Normal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Приглашаем Вас принять участие в работе </w:t>
      </w:r>
      <w:r>
        <w:rPr>
          <w:rFonts w:eastAsia="Calibri"/>
          <w:bCs/>
          <w:sz w:val="24"/>
          <w:szCs w:val="24"/>
          <w:lang w:val="en-US" w:eastAsia="en-US"/>
        </w:rPr>
        <w:t>IX</w:t>
      </w:r>
      <w:r>
        <w:rPr>
          <w:rFonts w:eastAsia="Calibri"/>
          <w:bCs/>
          <w:sz w:val="24"/>
          <w:szCs w:val="24"/>
          <w:lang w:eastAsia="en-US"/>
        </w:rPr>
        <w:t xml:space="preserve"> Международной научно-практической конференции «Современные рыбохозяйственные и экологические проблемы Азово-Черноморского региона» посвященной 95-летию Южного научно-исследовательского института рыбного хозяйства и океанографии.</w:t>
      </w:r>
    </w:p>
    <w:p>
      <w:pPr>
        <w:pStyle w:val="Normal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</w:r>
    </w:p>
    <w:p>
      <w:pPr>
        <w:pStyle w:val="Normal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Направления работы конференции:</w:t>
      </w:r>
    </w:p>
    <w:p>
      <w:pPr>
        <w:pStyle w:val="Normal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1. Результаты исследований состояния биоресурсов Азово-Черноморского бассейна.</w:t>
      </w:r>
    </w:p>
    <w:p>
      <w:pPr>
        <w:pStyle w:val="Normal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2. Трансформация природных экосистем Азово-Черноморского региона в условиях антропогенного воздействия и естественных климатических изменений.</w:t>
      </w:r>
    </w:p>
    <w:p>
      <w:pPr>
        <w:pStyle w:val="Normal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3. Состояние и перспективы развития аквакультуры и воспроизводства гидробионтов.</w:t>
      </w:r>
    </w:p>
    <w:p>
      <w:pPr>
        <w:pStyle w:val="Normal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4. Направления развития и пути повышения эффективности научного обеспечения рыбного хозяйства региона.</w:t>
      </w:r>
    </w:p>
    <w:p>
      <w:pPr>
        <w:pStyle w:val="Normal"/>
        <w:ind w:firstLine="567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 конференции</w:t>
      </w:r>
      <w:r>
        <w:rPr>
          <w:sz w:val="24"/>
          <w:szCs w:val="24"/>
        </w:rPr>
        <w:t xml:space="preserve"> – представление результатов фундаментальных и прикладных научных исследований в области исследования водных биологических ресурсов, среды их обитания, обсуждение возможности их практического использования для развития рационального природопользования, воспроизводства биологических ресурсов и аквакультуры.</w:t>
      </w:r>
    </w:p>
    <w:p>
      <w:pPr>
        <w:pStyle w:val="Style91"/>
        <w:spacing w:lineRule="auto" w:line="240" w:before="200" w:after="0"/>
        <w:ind w:firstLine="720"/>
        <w:rPr/>
      </w:pPr>
      <w:r>
        <w:rPr>
          <w:b/>
          <w:lang w:eastAsia="en-US"/>
        </w:rPr>
        <w:t>Для участия в конференции приглашаются</w:t>
      </w:r>
      <w:r>
        <w:rPr>
          <w:lang w:eastAsia="en-US"/>
        </w:rPr>
        <w:t xml:space="preserve"> сотрудники и аспиранты научно-исследовательских институтов, высших учебных заведений, а также представители органов государственной власти и </w:t>
      </w:r>
      <w:r>
        <w:rPr/>
        <w:t>местного самоуправления</w:t>
      </w:r>
      <w:r>
        <w:rPr>
          <w:lang w:eastAsia="en-US"/>
        </w:rPr>
        <w:t xml:space="preserve">, профильных Министерств и ведомств, бизнеса и общественных организаций, заинтересованные в практическом внедрении результатов научных разработок в рыбное хозяйство. </w:t>
      </w:r>
    </w:p>
    <w:p>
      <w:pPr>
        <w:pStyle w:val="Normal"/>
        <w:spacing w:before="200" w:after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Формы докладов</w:t>
      </w:r>
      <w:r>
        <w:rPr>
          <w:sz w:val="24"/>
          <w:szCs w:val="24"/>
        </w:rPr>
        <w:t xml:space="preserve">: пленарные, секционные и стендовые. </w:t>
      </w:r>
    </w:p>
    <w:p>
      <w:pPr>
        <w:pStyle w:val="Normal"/>
        <w:spacing w:before="200" w:after="0"/>
        <w:ind w:firstLine="7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Рабочие языки конференции:</w:t>
      </w:r>
      <w:r>
        <w:rPr>
          <w:sz w:val="24"/>
          <w:szCs w:val="24"/>
        </w:rPr>
        <w:t xml:space="preserve"> русский и английский.</w:t>
      </w:r>
    </w:p>
    <w:p>
      <w:pPr>
        <w:pStyle w:val="Normal"/>
        <w:ind w:firstLine="567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32"/>
        <w:jc w:val="center"/>
        <w:outlineLvl w:val="0"/>
        <w:rPr>
          <w:b/>
          <w:b/>
          <w:i/>
          <w:i/>
          <w:sz w:val="24"/>
          <w:szCs w:val="24"/>
          <w:shd w:fill="FFFFFF" w:val="clear"/>
        </w:rPr>
      </w:pPr>
      <w:r>
        <w:rPr>
          <w:b/>
          <w:i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pacing w:lineRule="auto" w:line="232"/>
        <w:jc w:val="center"/>
        <w:outlineLvl w:val="0"/>
        <w:rPr>
          <w:b/>
          <w:b/>
          <w:i/>
          <w:i/>
          <w:sz w:val="24"/>
          <w:szCs w:val="24"/>
          <w:shd w:fill="FFFFFF" w:val="clear"/>
        </w:rPr>
      </w:pPr>
      <w:r>
        <w:rPr>
          <w:b/>
          <w:i/>
          <w:sz w:val="24"/>
          <w:szCs w:val="24"/>
          <w:shd w:fill="FFFFFF" w:val="clear"/>
        </w:rPr>
      </w:r>
    </w:p>
    <w:p>
      <w:pPr>
        <w:pStyle w:val="Normal"/>
        <w:ind w:firstLine="567"/>
        <w:jc w:val="both"/>
        <w:rPr/>
      </w:pPr>
      <w:r>
        <w:rPr>
          <w:sz w:val="26"/>
          <w:szCs w:val="26"/>
        </w:rPr>
        <w:t xml:space="preserve">Участникам конференции необходимо заполнить и отправить по электронной почте регистрационную форму (Приложение 1) </w:t>
      </w:r>
      <w:r>
        <w:rPr>
          <w:b/>
          <w:sz w:val="26"/>
          <w:szCs w:val="26"/>
        </w:rPr>
        <w:t>до 20 мая 2017 г.</w:t>
      </w:r>
      <w:r>
        <w:rPr>
          <w:sz w:val="26"/>
          <w:szCs w:val="26"/>
        </w:rPr>
        <w:t xml:space="preserve"> в секретариат (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 xml:space="preserve">-mail: </w:t>
      </w:r>
      <w:hyperlink r:id="rId2">
        <w:r>
          <w:rPr>
            <w:sz w:val="26"/>
            <w:szCs w:val="26"/>
            <w:lang w:val="en-US"/>
          </w:rPr>
          <w:t>conference</w:t>
        </w:r>
      </w:hyperlink>
      <w:r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azniirkh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 xml:space="preserve">). Форму можно заполнить и отправить непосредственно с сайта </w:t>
      </w:r>
      <w:hyperlink r:id="rId3">
        <w:r>
          <w:rPr>
            <w:rStyle w:val="Style13"/>
            <w:sz w:val="26"/>
            <w:szCs w:val="26"/>
          </w:rPr>
          <w:t>http://www.</w:t>
        </w:r>
        <w:r>
          <w:rPr>
            <w:rStyle w:val="Style13"/>
            <w:sz w:val="26"/>
            <w:szCs w:val="26"/>
            <w:lang w:val="en-US"/>
          </w:rPr>
          <w:t>azniirkh</w:t>
        </w:r>
        <w:r>
          <w:rPr>
            <w:rStyle w:val="Style13"/>
            <w:sz w:val="26"/>
            <w:szCs w:val="26"/>
          </w:rPr>
          <w:t>.ru</w:t>
        </w:r>
      </w:hyperlink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в разделе «Конференции».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71"/>
        <w:widowControl/>
        <w:spacing w:lineRule="auto" w:line="24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Предполагается публикация материалов выступления в виде статей. Статьи следует направлять электронной почтой на адрес </w:t>
      </w:r>
      <w:r>
        <w:rPr>
          <w:sz w:val="26"/>
          <w:szCs w:val="26"/>
          <w:lang w:val="en-US"/>
        </w:rPr>
        <w:t>conference</w:t>
      </w:r>
      <w:r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azniirkh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b/>
          <w:sz w:val="26"/>
          <w:szCs w:val="26"/>
        </w:rPr>
        <w:t xml:space="preserve"> до 20 июня 2017 г. </w:t>
      </w:r>
      <w:r>
        <w:rPr>
          <w:sz w:val="26"/>
          <w:szCs w:val="26"/>
        </w:rPr>
        <w:t xml:space="preserve">Материалы конференции будут опубликованы в авторской редакции. </w:t>
      </w:r>
    </w:p>
    <w:p>
      <w:pPr>
        <w:pStyle w:val="Style71"/>
        <w:widowControl/>
        <w:spacing w:lineRule="auto" w:line="240"/>
        <w:ind w:firstLine="567"/>
        <w:rPr>
          <w:sz w:val="26"/>
          <w:szCs w:val="26"/>
        </w:rPr>
      </w:pPr>
      <w:r>
        <w:rPr>
          <w:sz w:val="26"/>
          <w:szCs w:val="26"/>
        </w:rPr>
        <w:t>Требования к публикациям (Приложение 2).</w:t>
      </w:r>
    </w:p>
    <w:p>
      <w:pPr>
        <w:pStyle w:val="Normal"/>
        <w:ind w:firstLine="709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p>
      <w:pPr>
        <w:pStyle w:val="Normal"/>
        <w:ind w:firstLine="567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Контрольные сроки:</w:t>
      </w:r>
    </w:p>
    <w:tbl>
      <w:tblPr>
        <w:tblW w:w="8494" w:type="dxa"/>
        <w:jc w:val="left"/>
        <w:tblInd w:w="82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92"/>
        <w:gridCol w:w="3401"/>
      </w:tblGrid>
      <w:tr>
        <w:trPr>
          <w:trHeight w:val="264" w:hRule="atLeast"/>
        </w:trPr>
        <w:tc>
          <w:tcPr>
            <w:tcW w:w="509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Регистрация заявок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 20 мая 2017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г.</w:t>
            </w:r>
          </w:p>
        </w:tc>
      </w:tr>
      <w:tr>
        <w:trPr>
          <w:trHeight w:val="264" w:hRule="atLeast"/>
        </w:trPr>
        <w:tc>
          <w:tcPr>
            <w:tcW w:w="5092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материалов конференции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 20 июня 2017 г.</w:t>
            </w:r>
          </w:p>
        </w:tc>
      </w:tr>
    </w:tbl>
    <w:p>
      <w:pPr>
        <w:pStyle w:val="Normal"/>
        <w:ind w:firstLine="567"/>
        <w:jc w:val="both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Normal"/>
        <w:ind w:firstLine="567"/>
        <w:jc w:val="both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Подробная информация о </w:t>
      </w:r>
      <w:r>
        <w:rPr>
          <w:b/>
          <w:i/>
          <w:iCs/>
          <w:sz w:val="26"/>
          <w:szCs w:val="26"/>
        </w:rPr>
        <w:t>датах проведения</w:t>
      </w:r>
      <w:r>
        <w:rPr>
          <w:i/>
          <w:iCs/>
          <w:sz w:val="26"/>
          <w:szCs w:val="26"/>
        </w:rPr>
        <w:t xml:space="preserve"> (</w:t>
      </w:r>
      <w:r>
        <w:rPr>
          <w:b/>
          <w:i/>
          <w:iCs/>
          <w:sz w:val="26"/>
          <w:szCs w:val="26"/>
        </w:rPr>
        <w:t>они будут уточнены)</w:t>
      </w:r>
      <w:r>
        <w:rPr>
          <w:i/>
          <w:iCs/>
          <w:sz w:val="26"/>
          <w:szCs w:val="26"/>
        </w:rPr>
        <w:t>), порядке размещения иногородних участников для проживания будет содержаться во Втором информационном письме и на сайте АзНИИРХа..</w:t>
      </w:r>
    </w:p>
    <w:p>
      <w:pPr>
        <w:pStyle w:val="Normal"/>
        <w:spacing w:before="200" w:after="0"/>
        <w:ind w:firstLine="72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Материалы доклада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сборника конференции </w:t>
      </w:r>
      <w:r>
        <w:rPr>
          <w:color w:val="000000"/>
          <w:sz w:val="24"/>
          <w:szCs w:val="24"/>
        </w:rPr>
        <w:t xml:space="preserve">и скан-копия документа, подтверждающего оплату организационного взноса, отправляются через сайт конференции после подтверждения регистрации и получения индивидуального номера участника, в срок </w:t>
      </w:r>
      <w:r>
        <w:rPr>
          <w:b/>
          <w:sz w:val="24"/>
          <w:szCs w:val="24"/>
        </w:rPr>
        <w:t xml:space="preserve">до </w:t>
      </w:r>
      <w:r>
        <w:rPr>
          <w:b/>
          <w:bCs/>
          <w:sz w:val="24"/>
          <w:szCs w:val="24"/>
        </w:rPr>
        <w:t>______ 2017 г.</w:t>
      </w:r>
    </w:p>
    <w:p>
      <w:pPr>
        <w:pStyle w:val="Normal"/>
        <w:spacing w:before="200" w:after="0"/>
        <w:ind w:firstLine="720"/>
        <w:jc w:val="both"/>
        <w:rPr/>
      </w:pPr>
      <w:r>
        <w:rPr>
          <w:sz w:val="24"/>
          <w:szCs w:val="24"/>
        </w:rPr>
        <w:t xml:space="preserve">Редактирование материалов не предусмотрено, оргкомитет оставляет за собой право их отклонения при несоответствии тематике конференции и требованиям к оформлению. Сборник, который планируется издать к началу конференции, будет включён в систему РИНЦ. </w:t>
      </w:r>
    </w:p>
    <w:p>
      <w:pPr>
        <w:pStyle w:val="Normal"/>
        <w:ind w:firstLine="7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Организационный взнос</w:t>
      </w:r>
      <w:r>
        <w:rPr>
          <w:sz w:val="24"/>
          <w:szCs w:val="24"/>
        </w:rPr>
        <w:t xml:space="preserve"> для участников конференции предназначен для издания сборника материалов конференции, оплаты информационных и почтовых услуг,  расходных материалов, и составляет: 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граждане РФ и стран ближнего зарубежья, очное участие – 1500 руб.;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граждане иностранных государств – 5000 руб. (взнос принимается при очной регистрации);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студенты и аспиранты – 500 руб.;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заочное участие (независимо от гражданства) – 500 руб.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оплате одного организационного взноса (очное или заочное участие) соавторам предоставляется один экземпляр сборника материалов конференции. </w:t>
      </w:r>
    </w:p>
    <w:p>
      <w:pPr>
        <w:pStyle w:val="NoSpacing"/>
        <w:ind w:firstLine="720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Spacing"/>
        <w:ind w:firstLine="709"/>
        <w:rPr>
          <w:rStyle w:val="Strong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для оплаты</w:t>
      </w:r>
      <w:r>
        <w:rPr>
          <w:rStyle w:val="Strong"/>
          <w:rFonts w:ascii="Times New Roman" w:hAnsi="Times New Roman"/>
          <w:sz w:val="24"/>
          <w:szCs w:val="24"/>
        </w:rPr>
        <w:t>:</w:t>
      </w:r>
    </w:p>
    <w:p>
      <w:pPr>
        <w:pStyle w:val="NoSpacing"/>
        <w:ind w:firstLine="709"/>
        <w:rPr>
          <w:rStyle w:val="Strong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(Обязательно указать</w:t>
      </w:r>
      <w:r>
        <w:rPr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назначение платежа: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за участие в юбилейной конференции, от </w:t>
      </w:r>
      <w:r>
        <w:rPr>
          <w:i/>
          <w:sz w:val="24"/>
          <w:szCs w:val="24"/>
        </w:rPr>
        <w:t>Ф.И.О.</w:t>
      </w:r>
      <w:r>
        <w:rPr>
          <w:sz w:val="24"/>
          <w:szCs w:val="24"/>
        </w:rPr>
        <w:t>).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отдельному запросу может быть заключён договор организации с ФГБНУ «АзНИИРХ» и выставлен счёт на оплату организационных взносов.</w:t>
      </w:r>
    </w:p>
    <w:p>
      <w:pPr>
        <w:pStyle w:val="Normal"/>
        <w:ind w:firstLine="720"/>
        <w:jc w:val="both"/>
        <w:rPr>
          <w:i/>
          <w:i/>
          <w:iCs/>
          <w:sz w:val="26"/>
          <w:szCs w:val="26"/>
        </w:rPr>
      </w:pPr>
      <w:r>
        <w:rPr>
          <w:sz w:val="24"/>
          <w:szCs w:val="24"/>
        </w:rPr>
        <w:t xml:space="preserve">Оплата проезда, проживания и питания, а также бронирование гостиниц осуществляется участниками конференции самостоятельно. </w:t>
      </w:r>
    </w:p>
    <w:p>
      <w:pPr>
        <w:pStyle w:val="Normal"/>
        <w:jc w:val="center"/>
        <w:rPr>
          <w:i/>
          <w:i/>
          <w:sz w:val="26"/>
          <w:szCs w:val="26"/>
        </w:rPr>
      </w:pPr>
      <w:r>
        <w:rPr>
          <w:i/>
          <w:sz w:val="26"/>
          <w:szCs w:val="26"/>
        </w:rPr>
      </w:r>
      <w:r>
        <w:br w:type="page"/>
      </w:r>
    </w:p>
    <w:p>
      <w:pPr>
        <w:pStyle w:val="Normal"/>
        <w:ind w:firstLine="567"/>
        <w:jc w:val="right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Приложение 1</w:t>
      </w:r>
    </w:p>
    <w:p>
      <w:pPr>
        <w:pStyle w:val="Normal"/>
        <w:jc w:val="center"/>
        <w:rPr/>
      </w:pPr>
      <w:r>
        <w:rPr/>
        <w:t>Регистрационная форма</w:t>
      </w:r>
    </w:p>
    <w:p>
      <w:pPr>
        <w:pStyle w:val="Normal"/>
        <w:jc w:val="center"/>
        <w:rPr>
          <w:b/>
          <w:b/>
        </w:rPr>
      </w:pPr>
      <w:r>
        <w:rPr>
          <w:b/>
        </w:rPr>
        <w:t>на участие в конференции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</w:rPr>
        <w:t>«</w:t>
      </w:r>
      <w:r>
        <w:rPr>
          <w:b/>
          <w:sz w:val="28"/>
          <w:szCs w:val="28"/>
        </w:rPr>
        <w:t xml:space="preserve">Современные рыбохозяйственные и экологические проблемы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Азово-Черноморского региона</w:t>
      </w:r>
      <w:r>
        <w:rPr>
          <w:b/>
        </w:rPr>
        <w:t>»</w:t>
      </w:r>
      <w:r>
        <w:rPr/>
        <w:t>,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>Фамилия, имя, отчество (полностью)___________________________________________________</w:t>
      </w:r>
    </w:p>
    <w:p>
      <w:pPr>
        <w:pStyle w:val="Normal"/>
        <w:spacing w:lineRule="auto" w:line="360"/>
        <w:rPr/>
      </w:pPr>
      <w:r>
        <w:rPr/>
        <w:t>Должность ______________________________________________________________________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>степень/звание ___________________________________________________________________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>Организация: ____________________________________________________________________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>Адрес: индекс, страна, город, улица, дом, 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</w:t>
      </w:r>
    </w:p>
    <w:p>
      <w:pPr>
        <w:pStyle w:val="Normal"/>
        <w:rPr/>
      </w:pPr>
      <w:r>
        <w:rPr/>
        <w:t xml:space="preserve">Контактная информация участника (телефон,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>, почтовый адрес)______________________</w:t>
      </w:r>
    </w:p>
    <w:p>
      <w:pPr>
        <w:pStyle w:val="Normal"/>
        <w:rPr/>
      </w:pPr>
      <w:r>
        <w:rPr/>
        <w:t>__________________________________________________________________________________</w:t>
      </w:r>
    </w:p>
    <w:p>
      <w:pPr>
        <w:pStyle w:val="Normal"/>
        <w:rPr/>
      </w:pPr>
      <w:r>
        <w:rPr/>
        <w:t>Форма участия:</w:t>
      </w:r>
    </w:p>
    <w:p>
      <w:pPr>
        <w:pStyle w:val="Normal"/>
        <w:rPr/>
      </w:pPr>
      <w:r>
        <w:rPr/>
        <w:t xml:space="preserve">- заочная                                                  </w:t>
      </w:r>
      <w:r>
        <w:rPr/>
        <mc:AlternateContent>
          <mc:Choice Requires="wps">
            <w:drawing>
              <wp:inline distT="0" distB="0" distL="114300" distR="114300">
                <wp:extent cx="219710" cy="20066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219240" cy="20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17.2pt;height:15.7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/>
        <w:t xml:space="preserve">         </w:t>
      </w:r>
    </w:p>
    <w:p>
      <w:pPr>
        <w:pStyle w:val="Normal"/>
        <w:rPr/>
      </w:pPr>
      <w:r>
        <w:rPr/>
        <w:t xml:space="preserve">- очная                                                     </w:t>
      </w:r>
      <w:r>
        <w:rPr/>
        <mc:AlternateContent>
          <mc:Choice Requires="wps">
            <w:drawing>
              <wp:inline distT="0" distB="0" distL="114300" distR="114300">
                <wp:extent cx="219710" cy="200660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219240" cy="20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17.2pt;height:15.7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/>
        <w:t xml:space="preserve">          </w:t>
      </w:r>
    </w:p>
    <w:p>
      <w:pPr>
        <w:pStyle w:val="Normal"/>
        <w:rPr/>
      </w:pPr>
      <w:r>
        <w:rPr/>
        <w:t xml:space="preserve">- доклад стендовый                                </w:t>
      </w:r>
      <w:r>
        <w:rPr/>
        <mc:AlternateContent>
          <mc:Choice Requires="wps">
            <w:drawing>
              <wp:inline distT="0" distB="0" distL="114300" distR="114300">
                <wp:extent cx="219710" cy="200660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219240" cy="20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17.2pt;height:15.7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/>
        <w:t xml:space="preserve">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Название доклада 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Дата ______________ Подпись ______________</w:t>
      </w:r>
      <w:r>
        <w:br w:type="page"/>
      </w:r>
    </w:p>
    <w:p>
      <w:pPr>
        <w:pStyle w:val="Normal"/>
        <w:shd w:val="clear" w:color="auto" w:fill="FFFFFF"/>
        <w:spacing w:lineRule="exact" w:line="274"/>
        <w:ind w:left="48" w:right="62" w:firstLine="660"/>
        <w:jc w:val="right"/>
        <w:rPr/>
      </w:pPr>
      <w:r>
        <w:rPr/>
        <w:t>Приложение 2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оформлению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/>
        <w:t>Объем статьи – до 10 страниц</w:t>
      </w:r>
    </w:p>
    <w:p>
      <w:pPr>
        <w:pStyle w:val="Normal"/>
        <w:spacing w:before="0" w:after="240"/>
        <w:ind w:firstLine="708"/>
        <w:jc w:val="both"/>
        <w:rPr>
          <w:sz w:val="28"/>
          <w:szCs w:val="28"/>
        </w:rPr>
      </w:pPr>
      <w:r>
        <w:rPr/>
        <w:t>Для оригинал-макета используется лист формата А-4 с полями: левое – 30 мм, правое и нижнее – 35 мм, верхнее – 30 мм; текстовый редактор – Microsoft Word , шрифт – Times New Roman Cyr, кегль – 12, межстрочный интервал – полуторный; абзацный отступ – 10 мм, выравнивание – по формату (с переносами</w:t>
      </w:r>
      <w:r>
        <w:rPr>
          <w:sz w:val="28"/>
          <w:szCs w:val="28"/>
        </w:rPr>
        <w:t>).</w:t>
      </w:r>
    </w:p>
    <w:p>
      <w:pPr>
        <w:pStyle w:val="Normal"/>
        <w:ind w:firstLine="708"/>
        <w:jc w:val="both"/>
        <w:rPr/>
      </w:pPr>
      <w:r>
        <w:rPr/>
        <w:t>Порядок оформления статьи:</w:t>
      </w:r>
    </w:p>
    <w:p>
      <w:pPr>
        <w:pStyle w:val="Normal"/>
        <w:numPr>
          <w:ilvl w:val="0"/>
          <w:numId w:val="1"/>
        </w:numPr>
        <w:overflowPunct w:val="true"/>
        <w:ind w:left="0" w:hanging="360"/>
        <w:jc w:val="both"/>
        <w:textAlignment w:val="baseline"/>
        <w:rPr/>
      </w:pPr>
      <w:r>
        <w:rPr/>
        <w:t>УДК – регистр нормальный</w:t>
      </w:r>
    </w:p>
    <w:p>
      <w:pPr>
        <w:pStyle w:val="Normal"/>
        <w:numPr>
          <w:ilvl w:val="0"/>
          <w:numId w:val="1"/>
        </w:numPr>
        <w:overflowPunct w:val="true"/>
        <w:ind w:left="0" w:hanging="360"/>
        <w:jc w:val="both"/>
        <w:textAlignment w:val="baseline"/>
        <w:rPr/>
      </w:pPr>
      <w:r>
        <w:rPr/>
        <w:t>Название статьи – регистр нормальный</w:t>
      </w:r>
    </w:p>
    <w:p>
      <w:pPr>
        <w:pStyle w:val="Normal"/>
        <w:numPr>
          <w:ilvl w:val="0"/>
          <w:numId w:val="1"/>
        </w:numPr>
        <w:overflowPunct w:val="true"/>
        <w:ind w:left="0" w:hanging="360"/>
        <w:jc w:val="both"/>
        <w:textAlignment w:val="baseline"/>
        <w:rPr/>
      </w:pPr>
      <w:r>
        <w:rPr/>
        <w:t>Имя, отчество (сокращенно), фамилия автора (ов) – регистр нормальный (указать место работы)</w:t>
      </w:r>
    </w:p>
    <w:p>
      <w:pPr>
        <w:pStyle w:val="Normal"/>
        <w:numPr>
          <w:ilvl w:val="0"/>
          <w:numId w:val="1"/>
        </w:numPr>
        <w:overflowPunct w:val="true"/>
        <w:ind w:left="0" w:hanging="360"/>
        <w:jc w:val="both"/>
        <w:textAlignment w:val="baseline"/>
        <w:rPr/>
      </w:pPr>
      <w:r>
        <w:rPr/>
        <w:t>Структура статьи: реферат (8-10 предложений, 10 кегль), ключевые слова (8-10 слов), введение, основная часть, заключение, список литературы</w:t>
      </w:r>
    </w:p>
    <w:p>
      <w:pPr>
        <w:pStyle w:val="Normal"/>
        <w:numPr>
          <w:ilvl w:val="0"/>
          <w:numId w:val="1"/>
        </w:numPr>
        <w:overflowPunct w:val="true"/>
        <w:ind w:left="0" w:hanging="360"/>
        <w:jc w:val="both"/>
        <w:textAlignment w:val="baseline"/>
        <w:rPr/>
      </w:pPr>
      <w:r>
        <w:rPr>
          <w:color w:val="000000"/>
          <w:spacing w:val="2"/>
        </w:rPr>
        <w:t>При наборе текста статьи рекомендуется: а – пользоваться условными</w:t>
        <w:br/>
      </w:r>
      <w:r>
        <w:rPr>
          <w:color w:val="000000"/>
          <w:spacing w:val="6"/>
        </w:rPr>
        <w:t xml:space="preserve">обозначениями, принятыми в Международной системе СИ; б </w:t>
      </w:r>
      <w:r>
        <w:rPr>
          <w:color w:val="000000"/>
          <w:spacing w:val="2"/>
        </w:rPr>
        <w:t>–</w:t>
      </w:r>
      <w:r>
        <w:rPr>
          <w:color w:val="000000"/>
          <w:spacing w:val="6"/>
        </w:rPr>
        <w:t>деся</w:t>
      </w:r>
      <w:r>
        <w:rPr>
          <w:color w:val="000000"/>
        </w:rPr>
        <w:t xml:space="preserve">тичные дроби набирать через запятую: 0,15; 1,254; в </w:t>
      </w:r>
      <w:r>
        <w:rPr>
          <w:color w:val="000000"/>
          <w:spacing w:val="2"/>
        </w:rPr>
        <w:t>–</w:t>
      </w:r>
      <w:r>
        <w:rPr>
          <w:color w:val="000000"/>
        </w:rPr>
        <w:t xml:space="preserve"> переносить текст </w:t>
      </w:r>
      <w:r>
        <w:rPr>
          <w:color w:val="000000"/>
          <w:spacing w:val="4"/>
        </w:rPr>
        <w:t xml:space="preserve">на новую строку только с использованием автоматического абзацного </w:t>
      </w:r>
      <w:r>
        <w:rPr>
          <w:color w:val="000000"/>
          <w:spacing w:val="-5"/>
        </w:rPr>
        <w:t xml:space="preserve">отступа; г </w:t>
      </w:r>
      <w:r>
        <w:rPr>
          <w:color w:val="000000"/>
          <w:spacing w:val="2"/>
        </w:rPr>
        <w:t>–</w:t>
      </w:r>
      <w:r>
        <w:rPr>
          <w:color w:val="000000"/>
          <w:spacing w:val="-5"/>
        </w:rPr>
        <w:t xml:space="preserve"> не переносить вручную слов со строки на строку</w:t>
      </w:r>
    </w:p>
    <w:p>
      <w:pPr>
        <w:pStyle w:val="Normal"/>
        <w:numPr>
          <w:ilvl w:val="0"/>
          <w:numId w:val="1"/>
        </w:numPr>
        <w:overflowPunct w:val="true"/>
        <w:ind w:left="0" w:hanging="360"/>
        <w:jc w:val="both"/>
        <w:textAlignment w:val="baseline"/>
        <w:rPr/>
      </w:pPr>
      <w:r>
        <w:rPr/>
        <w:t>Таблицы и рисунки – в тексте (межстрочный интервал – одинарный)</w:t>
      </w:r>
    </w:p>
    <w:p>
      <w:pPr>
        <w:pStyle w:val="Normal"/>
        <w:numPr>
          <w:ilvl w:val="0"/>
          <w:numId w:val="1"/>
        </w:numPr>
        <w:overflowPunct w:val="true"/>
        <w:ind w:left="0" w:hanging="360"/>
        <w:jc w:val="both"/>
        <w:textAlignment w:val="baseline"/>
        <w:rPr/>
      </w:pPr>
      <w:r>
        <w:rPr>
          <w:color w:val="000000"/>
          <w:spacing w:val="3"/>
        </w:rPr>
        <w:t xml:space="preserve">Рисунки и фотографии представляются в электронном варианте в виде </w:t>
      </w:r>
      <w:r>
        <w:rPr>
          <w:color w:val="000000"/>
          <w:spacing w:val="1"/>
        </w:rPr>
        <w:t xml:space="preserve">отдельных файлов форматов </w:t>
      </w:r>
      <w:r>
        <w:rPr>
          <w:bCs/>
          <w:color w:val="000000"/>
          <w:spacing w:val="1"/>
        </w:rPr>
        <w:t>GIF, JPG, TIFF, CDR</w:t>
      </w:r>
      <w:r>
        <w:rPr>
          <w:b/>
          <w:bCs/>
          <w:color w:val="000000"/>
          <w:spacing w:val="1"/>
        </w:rPr>
        <w:t xml:space="preserve"> </w:t>
      </w:r>
      <w:r>
        <w:rPr>
          <w:color w:val="000000"/>
          <w:spacing w:val="1"/>
        </w:rPr>
        <w:t>с раз</w:t>
      </w:r>
      <w:r>
        <w:rPr>
          <w:color w:val="000000"/>
          <w:spacing w:val="5"/>
        </w:rPr>
        <w:t>решением не менее 300 dpi</w:t>
      </w:r>
    </w:p>
    <w:p>
      <w:pPr>
        <w:pStyle w:val="Normal"/>
        <w:numPr>
          <w:ilvl w:val="0"/>
          <w:numId w:val="1"/>
        </w:numPr>
        <w:overflowPunct w:val="true"/>
        <w:ind w:left="0" w:hanging="360"/>
        <w:jc w:val="both"/>
        <w:textAlignment w:val="baseline"/>
        <w:rPr/>
      </w:pPr>
      <w:r>
        <w:rPr/>
        <w:t>Ссылки на таблицы и рисунки в тексте – в круглых скобках (напр. табл. 1, рис. 1)</w:t>
      </w:r>
    </w:p>
    <w:p>
      <w:pPr>
        <w:pStyle w:val="Normal"/>
        <w:numPr>
          <w:ilvl w:val="0"/>
          <w:numId w:val="1"/>
        </w:numPr>
        <w:overflowPunct w:val="true"/>
        <w:ind w:left="0" w:hanging="360"/>
        <w:jc w:val="both"/>
        <w:textAlignment w:val="baseline"/>
        <w:rPr/>
      </w:pPr>
      <w:r>
        <w:rPr/>
        <w:t>Название таблицы – без абзацного отступа, по формату, п/ж, межстрочный интервал – полуторный</w:t>
      </w:r>
    </w:p>
    <w:p>
      <w:pPr>
        <w:pStyle w:val="Normal"/>
        <w:numPr>
          <w:ilvl w:val="0"/>
          <w:numId w:val="1"/>
        </w:numPr>
        <w:overflowPunct w:val="true"/>
        <w:ind w:left="0" w:hanging="360"/>
        <w:jc w:val="both"/>
        <w:textAlignment w:val="baseline"/>
        <w:rPr/>
      </w:pPr>
      <w:r>
        <w:rPr/>
        <w:t>Подрисуночная подпись – без абзацного отступа, по формату, п/ж, межстрочный интервал – полуторный</w:t>
      </w:r>
    </w:p>
    <w:p>
      <w:pPr>
        <w:pStyle w:val="Normal"/>
        <w:numPr>
          <w:ilvl w:val="0"/>
          <w:numId w:val="1"/>
        </w:numPr>
        <w:overflowPunct w:val="true"/>
        <w:ind w:left="0" w:hanging="360"/>
        <w:jc w:val="both"/>
        <w:textAlignment w:val="baseline"/>
        <w:rPr/>
      </w:pPr>
      <w:r>
        <w:rPr/>
        <w:t>Текст должен быть тщательно выверен</w:t>
      </w:r>
    </w:p>
    <w:p>
      <w:pPr>
        <w:pStyle w:val="Normal"/>
        <w:numPr>
          <w:ilvl w:val="0"/>
          <w:numId w:val="1"/>
        </w:numPr>
        <w:overflowPunct w:val="true"/>
        <w:ind w:left="0" w:hanging="360"/>
        <w:jc w:val="both"/>
        <w:textAlignment w:val="baseline"/>
        <w:rPr/>
      </w:pPr>
      <w:r>
        <w:rPr/>
        <w:t>Список использованной литературы – по алфавиту</w:t>
      </w:r>
    </w:p>
    <w:p>
      <w:pPr>
        <w:pStyle w:val="Normal"/>
        <w:numPr>
          <w:ilvl w:val="0"/>
          <w:numId w:val="1"/>
        </w:numPr>
        <w:overflowPunct w:val="true"/>
        <w:ind w:left="0" w:hanging="360"/>
        <w:jc w:val="both"/>
        <w:textAlignment w:val="baseline"/>
        <w:rPr/>
      </w:pPr>
      <w:r>
        <w:rPr/>
        <w:t>Ссылки на литературу в тексте – порядковый номер по списку в квадратных скобках.</w:t>
      </w:r>
    </w:p>
    <w:p>
      <w:pPr>
        <w:pStyle w:val="Normal"/>
        <w:numPr>
          <w:ilvl w:val="0"/>
          <w:numId w:val="1"/>
        </w:numPr>
        <w:overflowPunct w:val="true"/>
        <w:ind w:left="0" w:hanging="360"/>
        <w:jc w:val="both"/>
        <w:textAlignment w:val="baseline"/>
        <w:rPr>
          <w:sz w:val="28"/>
          <w:szCs w:val="28"/>
        </w:rPr>
      </w:pPr>
      <w:r>
        <w:rPr>
          <w:color w:val="000000"/>
          <w:spacing w:val="2"/>
        </w:rPr>
        <w:t>Примеры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</w:rPr>
        <w:t>оформления б</w:t>
      </w:r>
      <w:r>
        <w:rPr>
          <w:color w:val="000000"/>
          <w:spacing w:val="3"/>
        </w:rPr>
        <w:t>иблиографических ссылок в списке литературы (по ДСТУ ГОСТ 7.1: 2006):</w:t>
      </w:r>
    </w:p>
    <w:p>
      <w:pPr>
        <w:pStyle w:val="Normal"/>
        <w:ind w:firstLine="426"/>
        <w:jc w:val="both"/>
        <w:rPr>
          <w:color w:val="000000"/>
          <w:spacing w:val="6"/>
        </w:rPr>
      </w:pPr>
      <w:r>
        <w:rPr>
          <w:color w:val="000000"/>
          <w:spacing w:val="2"/>
        </w:rPr>
        <w:t xml:space="preserve">1) Книги: а — до четырех авторов (указываются все авторы): </w:t>
      </w:r>
      <w:r>
        <w:rPr>
          <w:i/>
          <w:iCs/>
          <w:color w:val="000000"/>
          <w:spacing w:val="2"/>
        </w:rPr>
        <w:t xml:space="preserve">Дроздовcкая А.Л. </w:t>
      </w:r>
      <w:r>
        <w:rPr>
          <w:color w:val="000000"/>
          <w:spacing w:val="2"/>
        </w:rPr>
        <w:t>Химическая эволюция океана и атмосферы в геологической исто</w:t>
      </w:r>
      <w:r>
        <w:rPr>
          <w:color w:val="000000"/>
          <w:spacing w:val="6"/>
        </w:rPr>
        <w:t>рии Земли.– К.: Наукова думка, 1990. – 205 с.</w:t>
      </w:r>
    </w:p>
    <w:p>
      <w:pPr>
        <w:pStyle w:val="Normal"/>
        <w:spacing w:before="0" w:after="120"/>
        <w:ind w:firstLine="709"/>
        <w:jc w:val="both"/>
        <w:rPr>
          <w:color w:val="000000"/>
          <w:spacing w:val="4"/>
        </w:rPr>
      </w:pPr>
      <w:r>
        <w:rPr>
          <w:color w:val="000000"/>
          <w:spacing w:val="3"/>
        </w:rPr>
        <w:t xml:space="preserve">б — более четырех авторов (указываются три первых автора): </w:t>
      </w:r>
      <w:r>
        <w:rPr>
          <w:i/>
          <w:iCs/>
          <w:color w:val="000000"/>
        </w:rPr>
        <w:t xml:space="preserve">Е.Ф. Шнюков, Г.Н. Орловский, </w:t>
      </w:r>
      <w:r>
        <w:rPr>
          <w:i/>
          <w:iCs/>
          <w:color w:val="000000"/>
          <w:spacing w:val="4"/>
        </w:rPr>
        <w:t xml:space="preserve">СЛ. Клещенко </w:t>
      </w:r>
      <w:r>
        <w:rPr>
          <w:color w:val="000000"/>
          <w:spacing w:val="4"/>
        </w:rPr>
        <w:t xml:space="preserve">и др. </w:t>
      </w:r>
      <w:r>
        <w:rPr>
          <w:color w:val="000000"/>
          <w:spacing w:val="3"/>
        </w:rPr>
        <w:t>Железо-</w:t>
      </w:r>
      <w:r>
        <w:rPr>
          <w:color w:val="000000"/>
        </w:rPr>
        <w:t>марганцевые конкреции Индийского океана –</w:t>
      </w:r>
      <w:r>
        <w:rPr>
          <w:color w:val="000000"/>
          <w:spacing w:val="4"/>
        </w:rPr>
        <w:t xml:space="preserve"> СПб.: Наука, 2001. – 328 с.</w:t>
      </w:r>
    </w:p>
    <w:p>
      <w:pPr>
        <w:pStyle w:val="Normal"/>
        <w:shd w:val="clear" w:color="auto" w:fill="FFFFFF"/>
        <w:spacing w:lineRule="exact" w:line="259"/>
        <w:ind w:right="5" w:firstLine="370"/>
        <w:jc w:val="both"/>
        <w:rPr/>
      </w:pPr>
      <w:r>
        <w:rPr>
          <w:color w:val="000000"/>
          <w:spacing w:val="-1"/>
        </w:rPr>
        <w:t xml:space="preserve">2) Авторефераты диссертаций: </w:t>
      </w:r>
      <w:r>
        <w:rPr>
          <w:i/>
          <w:iCs/>
          <w:color w:val="000000"/>
          <w:spacing w:val="-1"/>
        </w:rPr>
        <w:t xml:space="preserve">Рыбак Е.Н. </w:t>
      </w:r>
      <w:r>
        <w:rPr>
          <w:color w:val="000000"/>
          <w:spacing w:val="-1"/>
        </w:rPr>
        <w:t>Литолого-геохимические особенности образования черноморского жемчуга : Автореф. дис. канд-та геол.-</w:t>
      </w:r>
      <w:r>
        <w:rPr>
          <w:color w:val="000000"/>
          <w:spacing w:val="4"/>
        </w:rPr>
        <w:t xml:space="preserve">мин. наук : 04.00.10/Ин-т геологических наук АН Украины. – К., 1987. – </w:t>
      </w:r>
      <w:r>
        <w:rPr>
          <w:color w:val="000000"/>
          <w:spacing w:val="-5"/>
        </w:rPr>
        <w:t>16 с.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left" w:pos="538" w:leader="none"/>
        </w:tabs>
        <w:spacing w:lineRule="exact" w:line="259"/>
        <w:ind w:firstLine="370"/>
        <w:rPr>
          <w:color w:val="000000"/>
        </w:rPr>
      </w:pPr>
      <w:r>
        <w:rPr>
          <w:color w:val="000000"/>
          <w:spacing w:val="2"/>
        </w:rPr>
        <w:t xml:space="preserve">) Статьи в сборниках: </w:t>
      </w:r>
      <w:r>
        <w:rPr>
          <w:i/>
          <w:iCs/>
          <w:color w:val="000000"/>
          <w:spacing w:val="2"/>
        </w:rPr>
        <w:t xml:space="preserve">Волков И.И. </w:t>
      </w:r>
      <w:r>
        <w:rPr>
          <w:color w:val="000000"/>
          <w:spacing w:val="2"/>
        </w:rPr>
        <w:t xml:space="preserve">Железомарганцевые конкреции // Океанология. Химия океана. Т. 2. Геохимия донных осадков. – М.: Наука, </w:t>
      </w:r>
      <w:r>
        <w:rPr>
          <w:color w:val="000000"/>
          <w:spacing w:val="9"/>
        </w:rPr>
        <w:t>1979. – С. 414-455.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left" w:pos="538" w:leader="none"/>
        </w:tabs>
        <w:spacing w:lineRule="exact" w:line="259"/>
        <w:ind w:firstLine="370"/>
        <w:rPr>
          <w:color w:val="000000"/>
        </w:rPr>
      </w:pPr>
      <w:r>
        <w:rPr>
          <w:color w:val="000000"/>
          <w:spacing w:val="3"/>
        </w:rPr>
        <w:t xml:space="preserve">) Статьи в журналах: </w:t>
      </w:r>
      <w:r>
        <w:rPr>
          <w:i/>
          <w:iCs/>
          <w:color w:val="000000"/>
          <w:spacing w:val="3"/>
        </w:rPr>
        <w:t xml:space="preserve">Ковалевский СЛ. </w:t>
      </w:r>
      <w:r>
        <w:rPr>
          <w:color w:val="000000"/>
          <w:spacing w:val="3"/>
        </w:rPr>
        <w:t>Геологические черты линеа</w:t>
      </w:r>
      <w:r>
        <w:rPr>
          <w:color w:val="000000"/>
          <w:spacing w:val="1"/>
        </w:rPr>
        <w:t xml:space="preserve">мента 38-го меридиана в районе Черного моря // Докл. АН СССР. – 1960. – </w:t>
      </w:r>
      <w:r>
        <w:rPr>
          <w:color w:val="000000"/>
          <w:spacing w:val="5"/>
        </w:rPr>
        <w:t>Т. 130, № 6. – С. 1306-1309.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left" w:pos="538" w:leader="none"/>
        </w:tabs>
        <w:spacing w:lineRule="exact" w:line="259"/>
        <w:ind w:firstLine="370"/>
        <w:jc w:val="both"/>
        <w:rPr>
          <w:sz w:val="28"/>
          <w:szCs w:val="28"/>
        </w:rPr>
      </w:pPr>
      <w:r>
        <w:rPr>
          <w:color w:val="000000"/>
          <w:spacing w:val="4"/>
        </w:rPr>
        <w:t xml:space="preserve">) Тезисы докладов: </w:t>
      </w:r>
      <w:r>
        <w:rPr>
          <w:i/>
          <w:iCs/>
          <w:color w:val="000000"/>
          <w:spacing w:val="4"/>
        </w:rPr>
        <w:t xml:space="preserve">Ф.Г. Дадашев, ПЛ. Мамедова. </w:t>
      </w:r>
      <w:r>
        <w:rPr>
          <w:color w:val="000000"/>
          <w:spacing w:val="4"/>
        </w:rPr>
        <w:t xml:space="preserve">Закономерности </w:t>
      </w:r>
      <w:r>
        <w:rPr>
          <w:color w:val="000000"/>
          <w:spacing w:val="8"/>
        </w:rPr>
        <w:t xml:space="preserve">количественного распределения грязевых вулканов в нефтегазоносных </w:t>
      </w:r>
      <w:r>
        <w:rPr>
          <w:color w:val="000000"/>
          <w:spacing w:val="1"/>
        </w:rPr>
        <w:t>областях // Геодинамика и нефтегазоносные системы Черноморско-Каспий</w:t>
      </w:r>
      <w:r>
        <w:rPr>
          <w:color w:val="000000"/>
          <w:spacing w:val="8"/>
        </w:rPr>
        <w:t xml:space="preserve">ского региона. Материалы Ш Междунар. конференции (17-21 сентября </w:t>
      </w:r>
      <w:r>
        <w:rPr>
          <w:color w:val="000000"/>
        </w:rPr>
        <w:t xml:space="preserve">2001 </w:t>
      </w:r>
      <w:r>
        <w:rPr>
          <w:color w:val="000000"/>
          <w:spacing w:val="14"/>
        </w:rPr>
        <w:t>г.). –</w:t>
      </w:r>
      <w:r>
        <w:rPr>
          <w:color w:val="000000"/>
        </w:rPr>
        <w:t xml:space="preserve"> Симферополь, 2001. – С. 56.</w:t>
      </w:r>
    </w:p>
    <w:p>
      <w:pPr>
        <w:pStyle w:val="Normal"/>
        <w:widowControl w:val="false"/>
        <w:shd w:val="clear" w:color="auto" w:fill="FFFFFF"/>
        <w:tabs>
          <w:tab w:val="left" w:pos="538" w:leader="none"/>
        </w:tabs>
        <w:spacing w:lineRule="exact" w:line="259"/>
        <w:jc w:val="both"/>
        <w:rPr>
          <w:color w:val="000000"/>
        </w:rPr>
      </w:pPr>
      <w:r>
        <w:rPr>
          <w:color w:val="000000"/>
        </w:rPr>
      </w:r>
    </w:p>
    <w:p>
      <w:pPr>
        <w:pStyle w:val="BodyTextIndent3"/>
        <w:spacing w:before="0" w:after="0"/>
        <w:ind w:left="0" w:firstLine="567"/>
        <w:jc w:val="both"/>
        <w:rPr>
          <w:b/>
          <w:b/>
          <w:bCs/>
          <w:sz w:val="24"/>
          <w:szCs w:val="24"/>
        </w:rPr>
      </w:pPr>
      <w:r>
        <w:rPr/>
      </w:r>
    </w:p>
    <w:p>
      <w:pPr>
        <w:pStyle w:val="BodyTextIndent3"/>
        <w:spacing w:before="0" w:after="0"/>
        <w:ind w:left="0" w:firstLine="567"/>
        <w:jc w:val="both"/>
        <w:rPr>
          <w:b/>
          <w:b/>
          <w:bCs/>
          <w:sz w:val="24"/>
          <w:szCs w:val="24"/>
        </w:rPr>
      </w:pPr>
      <w:r>
        <w:rPr/>
      </w:r>
    </w:p>
    <w:p>
      <w:pPr>
        <w:pStyle w:val="BodyTextIndent3"/>
        <w:spacing w:before="0" w:after="0"/>
        <w:ind w:left="0" w:firstLine="567"/>
        <w:jc w:val="both"/>
        <w:rPr>
          <w:b/>
          <w:b/>
          <w:bCs/>
          <w:sz w:val="24"/>
          <w:szCs w:val="24"/>
        </w:rPr>
      </w:pPr>
      <w:r>
        <w:rPr/>
      </w:r>
    </w:p>
    <w:p>
      <w:pPr>
        <w:pStyle w:val="BodyTextIndent3"/>
        <w:spacing w:before="0" w:after="0"/>
        <w:ind w:left="0" w:firstLine="567"/>
        <w:jc w:val="both"/>
        <w:rPr>
          <w:b/>
          <w:b/>
          <w:bCs/>
          <w:sz w:val="24"/>
          <w:szCs w:val="24"/>
        </w:rPr>
      </w:pPr>
      <w:r>
        <w:rPr/>
      </w:r>
    </w:p>
    <w:p>
      <w:pPr>
        <w:pStyle w:val="BodyTextIndent3"/>
        <w:spacing w:before="0" w:after="0"/>
        <w:ind w:left="0" w:firstLine="567"/>
        <w:jc w:val="both"/>
        <w:rPr>
          <w:b/>
          <w:b/>
          <w:bCs/>
          <w:sz w:val="24"/>
          <w:szCs w:val="24"/>
        </w:rPr>
      </w:pPr>
      <w:r>
        <w:rPr/>
      </w:r>
    </w:p>
    <w:p>
      <w:pPr>
        <w:pStyle w:val="BodyTextIndent3"/>
        <w:spacing w:before="0" w:after="0"/>
        <w:ind w:left="0" w:firstLine="567"/>
        <w:jc w:val="both"/>
        <w:rPr>
          <w:b/>
          <w:b/>
          <w:bCs/>
          <w:sz w:val="24"/>
          <w:szCs w:val="24"/>
        </w:rPr>
      </w:pPr>
      <w:r>
        <w:rPr/>
      </w:r>
    </w:p>
    <w:p>
      <w:pPr>
        <w:pStyle w:val="BodyTextIndent3"/>
        <w:spacing w:before="0" w:after="0"/>
        <w:ind w:left="0" w:firstLine="567"/>
        <w:jc w:val="both"/>
        <w:rPr>
          <w:b/>
          <w:b/>
          <w:bCs/>
          <w:sz w:val="24"/>
          <w:szCs w:val="24"/>
        </w:rPr>
      </w:pPr>
      <w:r>
        <w:rPr/>
      </w:r>
    </w:p>
    <w:p>
      <w:pPr>
        <w:pStyle w:val="BodyTextIndent3"/>
        <w:spacing w:before="0" w:after="0"/>
        <w:ind w:left="0" w:firstLine="567"/>
        <w:jc w:val="both"/>
        <w:rPr>
          <w:b/>
          <w:b/>
          <w:bCs/>
          <w:sz w:val="24"/>
          <w:szCs w:val="24"/>
        </w:rPr>
      </w:pPr>
      <w:r>
        <w:rPr/>
      </w:r>
    </w:p>
    <w:p>
      <w:pPr>
        <w:pStyle w:val="BodyTextIndent3"/>
        <w:spacing w:before="0" w:after="0"/>
        <w:ind w:left="0" w:firstLine="567"/>
        <w:jc w:val="both"/>
        <w:rPr>
          <w:b/>
          <w:b/>
          <w:bCs/>
          <w:sz w:val="24"/>
          <w:szCs w:val="24"/>
        </w:rPr>
      </w:pPr>
      <w:r>
        <w:rPr/>
      </w:r>
    </w:p>
    <w:p>
      <w:pPr>
        <w:pStyle w:val="BodyTextIndent3"/>
        <w:spacing w:before="0" w:after="0"/>
        <w:ind w:left="0" w:firstLine="567"/>
        <w:jc w:val="both"/>
        <w:rPr>
          <w:b/>
          <w:b/>
          <w:bCs/>
          <w:sz w:val="24"/>
          <w:szCs w:val="24"/>
        </w:rPr>
      </w:pPr>
      <w:r>
        <w:rPr/>
      </w:r>
    </w:p>
    <w:p>
      <w:pPr>
        <w:pStyle w:val="BodyTextIndent3"/>
        <w:spacing w:before="0" w:after="0"/>
        <w:ind w:left="0" w:firstLine="567"/>
        <w:jc w:val="both"/>
        <w:rPr>
          <w:b/>
          <w:b/>
          <w:bCs/>
          <w:sz w:val="24"/>
          <w:szCs w:val="24"/>
        </w:rPr>
      </w:pPr>
      <w:r>
        <w:rPr/>
      </w:r>
    </w:p>
    <w:p>
      <w:pPr>
        <w:pStyle w:val="BodyTextIndent3"/>
        <w:spacing w:before="0" w:after="0"/>
        <w:ind w:left="0" w:firstLine="567"/>
        <w:jc w:val="both"/>
        <w:rPr>
          <w:b/>
          <w:b/>
          <w:bCs/>
          <w:sz w:val="24"/>
          <w:szCs w:val="24"/>
        </w:rPr>
      </w:pPr>
      <w:r>
        <w:rPr/>
      </w:r>
    </w:p>
    <w:p>
      <w:pPr>
        <w:pStyle w:val="BodyTextIndent3"/>
        <w:spacing w:before="0" w:after="0"/>
        <w:ind w:left="0" w:firstLine="567"/>
        <w:jc w:val="both"/>
        <w:rPr>
          <w:b/>
          <w:b/>
          <w:bCs/>
          <w:sz w:val="24"/>
          <w:szCs w:val="24"/>
        </w:rPr>
      </w:pPr>
      <w:r>
        <w:rPr/>
      </w:r>
    </w:p>
    <w:p>
      <w:pPr>
        <w:pStyle w:val="BodyTextIndent3"/>
        <w:spacing w:before="0" w:after="0"/>
        <w:ind w:left="0" w:firstLine="567"/>
        <w:jc w:val="both"/>
        <w:rPr>
          <w:b/>
          <w:b/>
          <w:bCs/>
          <w:sz w:val="24"/>
          <w:szCs w:val="24"/>
        </w:rPr>
      </w:pPr>
      <w:r>
        <w:rPr/>
      </w:r>
    </w:p>
    <w:p>
      <w:pPr>
        <w:pStyle w:val="BodyTextIndent3"/>
        <w:spacing w:before="0" w:after="0"/>
        <w:ind w:left="0" w:firstLine="567"/>
        <w:jc w:val="both"/>
        <w:rPr>
          <w:b/>
          <w:b/>
          <w:bCs/>
          <w:sz w:val="24"/>
          <w:szCs w:val="24"/>
        </w:rPr>
      </w:pPr>
      <w:r>
        <w:rPr/>
      </w:r>
    </w:p>
    <w:p>
      <w:pPr>
        <w:pStyle w:val="BodyTextIndent3"/>
        <w:spacing w:before="0" w:after="0"/>
        <w:ind w:left="0" w:firstLine="567"/>
        <w:jc w:val="both"/>
        <w:rPr>
          <w:b/>
          <w:b/>
          <w:bCs/>
          <w:sz w:val="24"/>
          <w:szCs w:val="24"/>
        </w:rPr>
      </w:pPr>
      <w:r>
        <w:rPr/>
      </w:r>
    </w:p>
    <w:p>
      <w:pPr>
        <w:pStyle w:val="BodyTextIndent3"/>
        <w:spacing w:before="0" w:after="0"/>
        <w:ind w:left="0" w:firstLine="567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ВНИМАНИЕ!</w:t>
      </w:r>
    </w:p>
    <w:p>
      <w:pPr>
        <w:pStyle w:val="BodyTextIndent3"/>
        <w:spacing w:before="0" w:after="0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Редакционная коллегия оставляет за собой право отказа в публикации материалов, которые представлены с нарушением требований, сроков сдачи или не соответствуют тематике издания.</w:t>
      </w:r>
    </w:p>
    <w:p>
      <w:pPr>
        <w:pStyle w:val="Normal"/>
        <w:widowControl w:val="false"/>
        <w:shd w:val="clear" w:color="auto" w:fill="FFFFFF"/>
        <w:tabs>
          <w:tab w:val="left" w:pos="538" w:leader="none"/>
        </w:tabs>
        <w:spacing w:lineRule="exact" w:line="25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Контактная информация: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Щербакова Наталья Ивановна, тел. (863)262-50-75;</w:t>
      </w:r>
    </w:p>
    <w:p>
      <w:pPr>
        <w:pStyle w:val="Normal"/>
        <w:ind w:firstLine="567"/>
        <w:jc w:val="both"/>
        <w:rPr/>
      </w:pPr>
      <w:r>
        <w:rPr>
          <w:sz w:val="24"/>
          <w:szCs w:val="24"/>
        </w:rPr>
        <w:t xml:space="preserve">Солодовников Александр Анатольевич, тел. (36561) 2-10-12;   </w:t>
      </w:r>
      <w:r>
        <w:rPr>
          <w:sz w:val="24"/>
          <w:szCs w:val="24"/>
        </w:rPr>
        <w:t>+ 7 978 800 85 90</w:t>
      </w:r>
    </w:p>
    <w:p>
      <w:pPr>
        <w:pStyle w:val="Normal"/>
        <w:ind w:firstLine="567"/>
        <w:jc w:val="both"/>
        <w:rPr>
          <w:b/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>Адрес Оргкомитета:</w:t>
      </w:r>
      <w:r>
        <w:rPr>
          <w:b/>
          <w:bCs/>
          <w:sz w:val="26"/>
          <w:szCs w:val="26"/>
        </w:rPr>
        <w:t xml:space="preserve"> </w:t>
      </w:r>
    </w:p>
    <w:p>
      <w:pPr>
        <w:pStyle w:val="BodyTextIndent3"/>
        <w:spacing w:before="0" w:after="0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344002, г. Ростов-на-Дону, ул. Береговая, д. 21в, тел. (863) 262-48-50</w:t>
      </w:r>
    </w:p>
    <w:p>
      <w:pPr>
        <w:pStyle w:val="BodyTextIndent3"/>
        <w:spacing w:before="0" w:after="0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Федеральное государственное бюджетное научное учреждение «Азовский научно-исследовательский институт рыбного хозяйства» (ФГБНУ «АзНИИРХ»).</w:t>
      </w:r>
    </w:p>
    <w:p>
      <w:pPr>
        <w:pStyle w:val="BodyTextIndent3"/>
        <w:spacing w:before="0" w:after="0"/>
        <w:ind w:left="0" w:firstLine="567"/>
        <w:jc w:val="both"/>
        <w:rPr/>
      </w:pPr>
      <w:r>
        <w:rPr>
          <w:bCs/>
          <w:sz w:val="24"/>
          <w:szCs w:val="24"/>
        </w:rPr>
        <w:t>Более подробная информация о Конференции будет размещена во Втором информационном письме.</w:t>
      </w:r>
    </w:p>
    <w:sectPr>
      <w:footerReference w:type="default" r:id="rId4"/>
      <w:type w:val="nextPage"/>
      <w:pgSz w:w="11906" w:h="16838"/>
      <w:pgMar w:left="1134" w:right="566" w:header="0" w:top="993" w:footer="708" w:bottom="851" w:gutter="0"/>
      <w:pgNumType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lvl w:ilvl="0">
      <w:start w:val="3"/>
      <w:numFmt w:val="decimal"/>
      <w:lvlText w:val="%1"/>
      <w:lvlJc w:val="left"/>
      <w:pPr>
        <w:ind w:left="720" w:hanging="360"/>
      </w:pPr>
      <w:rPr>
        <w:sz w:val="28"/>
        <w:rFonts w:cs="Times New Roman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4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62e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2">
    <w:name w:val="Heading 2"/>
    <w:basedOn w:val="Normal"/>
    <w:link w:val="20"/>
    <w:qFormat/>
    <w:rsid w:val="00e262e4"/>
    <w:pPr>
      <w:keepNext/>
      <w:jc w:val="center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e262e4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3">
    <w:name w:val="Интернет-ссылка"/>
    <w:rsid w:val="00e262e4"/>
    <w:rPr>
      <w:color w:val="0000FF"/>
      <w:u w:val="single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qFormat/>
    <w:rsid w:val="00e262e4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e262e4"/>
    <w:rPr>
      <w:rFonts w:ascii="Times New Roman" w:hAnsi="Times New Roman" w:eastAsia="Times New Roman" w:cs="Times New Roman"/>
      <w:sz w:val="20"/>
      <w:szCs w:val="20"/>
    </w:rPr>
  </w:style>
  <w:style w:type="character" w:styleId="FontStyle30" w:customStyle="1">
    <w:name w:val="Font Style30"/>
    <w:uiPriority w:val="99"/>
    <w:qFormat/>
    <w:rsid w:val="00e262e4"/>
    <w:rPr>
      <w:rFonts w:ascii="Arial" w:hAnsi="Arial" w:cs="Arial"/>
      <w:sz w:val="30"/>
      <w:szCs w:val="30"/>
    </w:rPr>
  </w:style>
  <w:style w:type="character" w:styleId="Hps" w:customStyle="1">
    <w:name w:val="hps"/>
    <w:qFormat/>
    <w:rsid w:val="00e262e4"/>
    <w:rPr/>
  </w:style>
  <w:style w:type="character" w:styleId="Atn" w:customStyle="1">
    <w:name w:val="atn"/>
    <w:qFormat/>
    <w:rsid w:val="00e262e4"/>
    <w:rPr/>
  </w:style>
  <w:style w:type="character" w:styleId="FontStyle13" w:customStyle="1">
    <w:name w:val="Font Style13"/>
    <w:qFormat/>
    <w:rsid w:val="00e262e4"/>
    <w:rPr>
      <w:rFonts w:ascii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513ca9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8"/>
      <w:szCs w:val="24"/>
    </w:rPr>
  </w:style>
  <w:style w:type="character" w:styleId="ListLabel5">
    <w:name w:val="ListLabel 5"/>
    <w:qFormat/>
    <w:rPr>
      <w:rFonts w:cs="Times New Roman"/>
      <w:sz w:val="28"/>
      <w:lang w:val="ru-RU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71" w:customStyle="1">
    <w:name w:val="Style7"/>
    <w:basedOn w:val="Normal"/>
    <w:uiPriority w:val="99"/>
    <w:qFormat/>
    <w:rsid w:val="00e262e4"/>
    <w:pPr>
      <w:widowControl w:val="false"/>
      <w:spacing w:lineRule="exact" w:line="354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262e4"/>
    <w:pPr>
      <w:spacing w:before="0" w:after="0"/>
      <w:ind w:left="720" w:hanging="0"/>
      <w:contextualSpacing/>
    </w:pPr>
    <w:rPr/>
  </w:style>
  <w:style w:type="paragraph" w:styleId="BodyTextIndent3">
    <w:name w:val="Body Text Indent 3"/>
    <w:basedOn w:val="Normal"/>
    <w:link w:val="30"/>
    <w:uiPriority w:val="99"/>
    <w:unhideWhenUsed/>
    <w:qFormat/>
    <w:rsid w:val="00e262e4"/>
    <w:pPr>
      <w:spacing w:before="0" w:after="120"/>
      <w:ind w:left="283" w:hanging="0"/>
    </w:pPr>
    <w:rPr>
      <w:sz w:val="16"/>
      <w:szCs w:val="16"/>
    </w:rPr>
  </w:style>
  <w:style w:type="paragraph" w:styleId="Default" w:customStyle="1">
    <w:name w:val="Default"/>
    <w:qFormat/>
    <w:rsid w:val="00e262e4"/>
    <w:pPr>
      <w:widowControl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styleId="Style20">
    <w:name w:val="Footer"/>
    <w:basedOn w:val="Normal"/>
    <w:link w:val="a6"/>
    <w:uiPriority w:val="99"/>
    <w:unhideWhenUsed/>
    <w:rsid w:val="00e262e4"/>
    <w:pPr>
      <w:tabs>
        <w:tab w:val="center" w:pos="4677" w:leader="none"/>
        <w:tab w:val="right" w:pos="9355" w:leader="none"/>
      </w:tabs>
    </w:pPr>
    <w:rPr/>
  </w:style>
  <w:style w:type="paragraph" w:styleId="Style41" w:customStyle="1">
    <w:name w:val="Style4"/>
    <w:basedOn w:val="Normal"/>
    <w:qFormat/>
    <w:rsid w:val="00e262e4"/>
    <w:pPr>
      <w:widowControl w:val="false"/>
      <w:spacing w:lineRule="exact" w:line="264"/>
      <w:ind w:firstLine="331"/>
      <w:jc w:val="both"/>
    </w:pPr>
    <w:rPr>
      <w:sz w:val="24"/>
      <w:szCs w:val="24"/>
    </w:rPr>
  </w:style>
  <w:style w:type="paragraph" w:styleId="Style91" w:customStyle="1">
    <w:name w:val="Style9"/>
    <w:basedOn w:val="Normal"/>
    <w:qFormat/>
    <w:rsid w:val="000b2985"/>
    <w:pPr>
      <w:widowControl w:val="false"/>
      <w:spacing w:lineRule="exact" w:line="312"/>
      <w:ind w:firstLine="696"/>
      <w:jc w:val="both"/>
    </w:pPr>
    <w:rPr>
      <w:sz w:val="24"/>
      <w:szCs w:val="24"/>
    </w:rPr>
  </w:style>
  <w:style w:type="paragraph" w:styleId="NoSpacing">
    <w:name w:val="No Spacing"/>
    <w:qFormat/>
    <w:rsid w:val="00513ca9"/>
    <w:pPr>
      <w:widowControl/>
      <w:bidi w:val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0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ference@kamniro.ru" TargetMode="External"/><Relationship Id="rId3" Type="http://schemas.openxmlformats.org/officeDocument/2006/relationships/hyperlink" Target="http://www.azniirkh.ru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LibreOffice/5.2.1.2$Windows_x86 LibreOffice_project/31dd62db80d4e60af04904455ec9c9219178d620</Application>
  <Pages>5</Pages>
  <Words>1034</Words>
  <Characters>8019</Characters>
  <CharactersWithSpaces>9154</CharactersWithSpaces>
  <Paragraphs>100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2017-03-01T12:20:00Z</dcterms:created>
  <dc:creator>Admin</dc:creator>
  <dc:description/>
  <dc:language>ru-RU</dc:language>
  <cp:lastModifiedBy/>
  <cp:lastPrinted>2017-03-15T06:30:00Z</cp:lastPrinted>
  <dcterms:modified xsi:type="dcterms:W3CDTF">2017-03-31T09:59:00Z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