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pPr>
      <w:r>
        <w:rPr>
          <w:rFonts w:eastAsia="Times New Roman" w:cs="Tahoma" w:ascii="Tahoma" w:hAnsi="Tahoma"/>
          <w:b/>
          <w:color w:val="000000"/>
          <w:sz w:val="20"/>
          <w:szCs w:val="20"/>
          <w:lang w:eastAsia="ru-RU"/>
        </w:rPr>
        <w:t xml:space="preserve"> </w:t>
      </w:r>
      <w:r>
        <w:rPr>
          <w:rFonts w:eastAsia="Times New Roman" w:cs="Tahoma" w:ascii="Tahoma" w:hAnsi="Tahoma"/>
          <w:b/>
          <w:color w:val="000000"/>
          <w:sz w:val="20"/>
          <w:szCs w:val="20"/>
          <w:lang w:eastAsia="ru-RU"/>
        </w:rPr>
        <w:t xml:space="preserve">Аналитический  испытательный центр </w:t>
      </w:r>
    </w:p>
    <w:p>
      <w:pPr>
        <w:pStyle w:val="Normal"/>
        <w:shd w:val="clear" w:color="auto" w:fill="FFFFFF"/>
        <w:spacing w:lineRule="auto" w:line="240" w:before="0" w:after="0"/>
        <w:jc w:val="center"/>
        <w:rPr>
          <w:rFonts w:ascii="Tahoma" w:hAnsi="Tahoma" w:eastAsia="Times New Roman" w:cs="Tahoma"/>
          <w:b/>
          <w:b/>
          <w:color w:val="000000"/>
          <w:sz w:val="20"/>
          <w:szCs w:val="20"/>
          <w:lang w:eastAsia="ru-RU"/>
        </w:rPr>
      </w:pPr>
      <w:r>
        <w:rPr>
          <w:rFonts w:eastAsia="Times New Roman" w:cs="Tahoma" w:ascii="Tahoma" w:hAnsi="Tahoma"/>
          <w:b/>
          <w:color w:val="000000"/>
          <w:sz w:val="20"/>
          <w:szCs w:val="20"/>
          <w:lang w:eastAsia="ru-RU"/>
        </w:rPr>
      </w:r>
    </w:p>
    <w:p>
      <w:pPr>
        <w:pStyle w:val="Normal"/>
        <w:shd w:val="clear" w:color="auto" w:fill="FFFFFF"/>
        <w:spacing w:lineRule="auto" w:line="240" w:before="0" w:after="0"/>
        <w:jc w:val="both"/>
        <w:rPr/>
      </w:pPr>
      <w:r>
        <w:rPr>
          <w:rFonts w:eastAsia="Times New Roman" w:cs="Tahoma" w:ascii="Tahoma" w:hAnsi="Tahoma"/>
          <w:color w:val="000000"/>
          <w:sz w:val="20"/>
          <w:szCs w:val="20"/>
          <w:lang w:eastAsia="ru-RU"/>
        </w:rPr>
        <w:t>Аналитический испытательный центр Азово-Черноморского филиала «ВНИРО» </w:t>
      </w:r>
      <w:r>
        <w:rPr>
          <w:rFonts w:eastAsia="Times New Roman" w:cs="Tahoma" w:ascii="Tahoma" w:hAnsi="Tahoma"/>
          <w:b/>
          <w:bCs/>
          <w:color w:val="000000"/>
          <w:sz w:val="20"/>
          <w:szCs w:val="20"/>
          <w:lang w:eastAsia="ru-RU"/>
        </w:rPr>
        <w:t>аттестован в системе аккредитации</w:t>
      </w:r>
      <w:r>
        <w:rPr>
          <w:rFonts w:eastAsia="Times New Roman" w:cs="Tahoma" w:ascii="Tahoma" w:hAnsi="Tahoma"/>
          <w:color w:val="000000"/>
          <w:sz w:val="20"/>
          <w:szCs w:val="20"/>
          <w:lang w:eastAsia="ru-RU"/>
        </w:rPr>
        <w:t> испытательных лабораторий Федеральной службой по аккредитации (Росаккредитация) в области проведения количественного химического анализа природных вод </w:t>
      </w:r>
      <w:r>
        <w:rPr>
          <w:rFonts w:eastAsia="Times New Roman" w:cs="Tahoma" w:ascii="Tahoma" w:hAnsi="Tahoma"/>
          <w:b/>
          <w:bCs/>
          <w:color w:val="000000"/>
          <w:sz w:val="20"/>
          <w:szCs w:val="20"/>
          <w:lang w:eastAsia="ru-RU"/>
        </w:rPr>
        <w:t xml:space="preserve">(Аттестат № </w:t>
      </w:r>
      <w:r>
        <w:rPr>
          <w:rFonts w:eastAsia="Times New Roman" w:cs="Tahoma" w:ascii="Tahoma" w:hAnsi="Tahoma"/>
          <w:b/>
          <w:bCs/>
          <w:color w:val="000000"/>
          <w:sz w:val="20"/>
          <w:szCs w:val="20"/>
          <w:lang w:val="en-US" w:eastAsia="ru-RU"/>
        </w:rPr>
        <w:t>RA</w:t>
      </w:r>
      <w:r>
        <w:rPr>
          <w:rFonts w:eastAsia="Times New Roman" w:cs="Tahoma" w:ascii="Tahoma" w:hAnsi="Tahoma"/>
          <w:b/>
          <w:bCs/>
          <w:color w:val="000000"/>
          <w:sz w:val="20"/>
          <w:szCs w:val="20"/>
          <w:lang w:eastAsia="ru-RU"/>
        </w:rPr>
        <w:t xml:space="preserve"> RU. 510217)</w:t>
      </w:r>
      <w:r>
        <w:rPr>
          <w:rFonts w:eastAsia="Times New Roman" w:cs="Tahoma" w:ascii="Tahoma" w:hAnsi="Tahoma"/>
          <w:bCs/>
          <w:color w:val="000000"/>
          <w:sz w:val="20"/>
          <w:szCs w:val="20"/>
          <w:lang w:eastAsia="ru-RU"/>
        </w:rPr>
        <w:t>, а также определения загрязнений в донных отложениях, почве и гидробионтах.</w:t>
      </w:r>
    </w:p>
    <w:p>
      <w:pPr>
        <w:pStyle w:val="Normal"/>
        <w:shd w:val="clear" w:color="auto" w:fill="FFFFFF"/>
        <w:spacing w:lineRule="auto" w:line="240" w:before="0" w:after="0"/>
        <w:jc w:val="both"/>
        <w:rPr>
          <w:rFonts w:ascii="Tahoma" w:hAnsi="Tahoma" w:eastAsia="Times New Roman" w:cs="Tahoma"/>
          <w:bCs/>
          <w:color w:val="000000"/>
          <w:sz w:val="20"/>
          <w:szCs w:val="20"/>
          <w:lang w:eastAsia="ru-RU"/>
        </w:rPr>
      </w:pPr>
      <w:r>
        <w:rPr>
          <w:rFonts w:eastAsia="Times New Roman" w:cs="Tahoma" w:ascii="Tahoma" w:hAnsi="Tahoma"/>
          <w:bCs/>
          <w:color w:val="000000"/>
          <w:sz w:val="20"/>
          <w:szCs w:val="20"/>
          <w:lang w:eastAsia="ru-RU"/>
        </w:rPr>
      </w:r>
    </w:p>
    <w:p>
      <w:pPr>
        <w:pStyle w:val="Normal"/>
        <w:shd w:val="clear" w:color="auto" w:fill="FFFFFF"/>
        <w:spacing w:lineRule="auto" w:line="240" w:before="0" w:after="0"/>
        <w:jc w:val="both"/>
        <w:rPr>
          <w:rFonts w:ascii="Tahoma" w:hAnsi="Tahoma" w:eastAsia="Times New Roman" w:cs="Tahoma"/>
          <w:color w:val="000000"/>
          <w:sz w:val="20"/>
          <w:szCs w:val="20"/>
          <w:lang w:eastAsia="ru-RU"/>
        </w:rPr>
      </w:pPr>
      <w:r>
        <w:rPr>
          <w:rFonts w:eastAsia="Times New Roman" w:cs="Tahoma" w:ascii="Tahoma" w:hAnsi="Tahoma"/>
          <w:b/>
          <w:bCs/>
          <w:color w:val="000000"/>
          <w:sz w:val="20"/>
          <w:szCs w:val="20"/>
          <w:lang w:eastAsia="ru-RU"/>
        </w:rPr>
        <w:t>Основные направления исследований и Услуги центра:</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color w:val="000000"/>
          <w:sz w:val="20"/>
          <w:szCs w:val="20"/>
          <w:lang w:eastAsia="ru-RU"/>
        </w:rPr>
        <w:t xml:space="preserve">осуществление мониторинга среды обитания водных биоресурсов по абиотическим показателям в рыбопромысловых районах морей России и пресноводных объектах рыбохозяйственного </w:t>
      </w:r>
      <w:r>
        <w:rPr>
          <w:rFonts w:eastAsia="Times New Roman" w:cs="Tahoma" w:ascii="Tahoma" w:hAnsi="Tahoma"/>
          <w:sz w:val="20"/>
          <w:szCs w:val="20"/>
          <w:lang w:eastAsia="ru-RU"/>
        </w:rPr>
        <w:t>значения и прогноз изменений под воздействием природных и антропогенных факторов;</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отбор проб природных вод (пресных и морских, поверхностных вод суши) на количественный химический анализ;</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отбор проб донных отложений и почв на количественный химический анализ;</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отбор проб питьевых вод, включая централизованные системы питьевого (непрерывного) водоснабжения на любом этапе использования, включая точку фактического потребления в распределительной сети, и домовые распределительные сети централизованного водоснабжения (в больших зданиях и сооружениях), в которых могут применяться дополнительные меры по управлению качеством воды на количественный химический анализ;</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отбор проб пищевых продуктов на радиологические исследования;</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отбор проб древесного сырья, лесоматериалов, полуфабрикатов и изделий из древесины и древесных материалов на радиологические исследования;</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гидрохимический анализ природных вод на определение растворенного кислорода, рН, сероводорода, БПК</w:t>
      </w:r>
      <w:r>
        <w:rPr>
          <w:rFonts w:eastAsia="Times New Roman" w:cs="Tahoma" w:ascii="Tahoma" w:hAnsi="Tahoma"/>
          <w:sz w:val="20"/>
          <w:szCs w:val="20"/>
          <w:vertAlign w:val="subscript"/>
          <w:lang w:eastAsia="ru-RU"/>
        </w:rPr>
        <w:t>5</w:t>
      </w:r>
      <w:r>
        <w:rPr>
          <w:rFonts w:eastAsia="Times New Roman" w:cs="Tahoma" w:ascii="Tahoma" w:hAnsi="Tahoma"/>
          <w:sz w:val="20"/>
          <w:szCs w:val="20"/>
          <w:lang w:eastAsia="ru-RU"/>
        </w:rPr>
        <w:t xml:space="preserve">, ХПК, биогенных элементов (фосфора минерального, азота нитритов, азота нитратов, азота аммония, кремниевой кислоты), общего фосфора, общего азота, общей жесткости, минерализации, расширенный анализ солевого состава воды (хлориды, сульфаты, гидрокарбонаты, кальций, магний, натрий, натрий+калий). </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исследование загрязнения компонентов окружающей среды (вода, донные отложения, почвы, гидробионты) на содержание нефтепродуктов, полиароматических углеводородов, н-парафинов, хлорсодержащих пестицидов (по изомерам и метаболитам), полихлорированных бифенилов (по конгенерам), тяжелых металлов, мышьяка, серы общей, летучих фенолов (суммарно), синтетических поверхностно-активных веществ (анионных и неионогенных);</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 xml:space="preserve">исследования воды питьевой на содержание полиароматических углеводородов, н-парафинов, хлорсодержащих пестицидов (по изомерам и метаболитам), полихлорированных бифенилов (по конгенерам), тяжелых металлов, мышьяка; </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радиологические исследования воды природной, питьевой, минеральной, природной питьевой столовой, лечебно-столовой, питьевой лечебной (в том числе расфасованной в емкости), искусственно-минерализованной, источников питьевого водоснабжения, сточной;</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радиологические исследования компонентов окружающей среды (донные отложения, почвы, грунты);</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радиологические исследования материалов и изделий строительных; строительных материалов естественного и искусственного происхождения; отходов промышленного производства, используемых для изготовления строительных материалов и изделий; минерального и органического сырья и продукции их переработки; древесного сырья, лесоматериалов, полуфабрикатов и изделий из древесины и древесных материалов; мяса и мясной продукции, субпродуктов; молока, молочной продукции; рыбы, рыбной продукции; продукции мукомольно-крупяного производства; плодоовощной продукции, фруктов и продуктов переработки; масла и жира животного и растительного, продуктов переработки; изделий хлебобулочных, макаронных и мучных кондитерских; кормов и кормовых добавок; кормов готовых для животных; продукции сельского хозяйства; продуктов пищевых готовых и блюд; продуктов пищевых прочих; напитков; продукции питания и диетической;</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разработка теоретических и методических основ изучения абиотических показателей среды обитания водных биологических ресурсов на уровне международных стандартов и требований. Совершенствование методов и средств исследований в области абиотических условий среды обитания водных биоресурсов, разработка методик количественного химического анализа;</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bookmarkStart w:id="0" w:name="_GoBack"/>
      <w:bookmarkEnd w:id="0"/>
      <w:r>
        <w:rPr>
          <w:rFonts w:eastAsia="Times New Roman" w:cs="Tahoma" w:ascii="Tahoma" w:hAnsi="Tahoma"/>
          <w:sz w:val="20"/>
          <w:szCs w:val="20"/>
          <w:lang w:eastAsia="ru-RU"/>
        </w:rPr>
        <w:t>подготовка заключений по фактам массовой гибели водных биоресурсов и загрязнения водных объектов в результате нарушения законодательства Российской Федерации по запросам территориальных управлений Росрыболовства на основе проведения комплексных экологических исследований;</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комплексные экосистемные исследования морей, водохранилищ, озер, рек для развития марикультуры и аквакультуры, рыбозащитных мероприятий, прибрежного строительства, добычи нефти и газа и т.д.;</w:t>
      </w:r>
    </w:p>
    <w:p>
      <w:pPr>
        <w:pStyle w:val="Normal"/>
        <w:numPr>
          <w:ilvl w:val="0"/>
          <w:numId w:val="1"/>
        </w:numPr>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Tahoma" w:hAnsi="Tahoma"/>
          <w:sz w:val="20"/>
          <w:szCs w:val="20"/>
          <w:lang w:eastAsia="ru-RU"/>
        </w:rPr>
        <w:t>разработка методических документов природоохранной направленности;</w:t>
      </w:r>
    </w:p>
    <w:p>
      <w:pPr>
        <w:pStyle w:val="Normal"/>
        <w:numPr>
          <w:ilvl w:val="0"/>
          <w:numId w:val="1"/>
        </w:numPr>
        <w:shd w:val="clear" w:color="auto" w:fill="FFFFFF"/>
        <w:spacing w:lineRule="auto" w:line="240" w:before="0" w:after="0"/>
        <w:ind w:left="240" w:hanging="360"/>
        <w:jc w:val="both"/>
        <w:rPr/>
      </w:pPr>
      <w:r>
        <w:rPr>
          <w:rFonts w:eastAsia="Times New Roman" w:cs="Tahoma" w:ascii="Tahoma" w:hAnsi="Tahoma"/>
          <w:sz w:val="20"/>
          <w:szCs w:val="20"/>
          <w:lang w:eastAsia="ru-RU"/>
        </w:rPr>
        <w:t>организация преддипломной практики для студентов экологических и химических специальностей.</w:t>
      </w:r>
    </w:p>
    <w:p>
      <w:pPr>
        <w:pStyle w:val="Normal"/>
        <w:shd w:val="clear" w:color="auto" w:fill="FFFFFF"/>
        <w:spacing w:lineRule="auto" w:line="240" w:before="0" w:after="0"/>
        <w:ind w:left="240" w:hanging="360"/>
        <w:jc w:val="both"/>
        <w:rPr>
          <w:rFonts w:ascii="Tahoma" w:hAnsi="Tahoma" w:eastAsia="Times New Roman" w:cs="Tahoma"/>
          <w:sz w:val="20"/>
          <w:szCs w:val="20"/>
          <w:lang w:eastAsia="ru-RU"/>
        </w:rPr>
      </w:pPr>
      <w:r>
        <w:rPr/>
      </w:r>
    </w:p>
    <w:p>
      <w:pPr>
        <w:pStyle w:val="Normal"/>
        <w:shd w:val="clear" w:color="auto" w:fill="FFFFFF"/>
        <w:spacing w:lineRule="auto" w:line="240" w:before="0" w:after="0"/>
        <w:ind w:left="240" w:hanging="360"/>
        <w:jc w:val="both"/>
        <w:rPr>
          <w:rFonts w:ascii="Tahoma" w:hAnsi="Tahoma" w:eastAsia="Times New Roman" w:cs="Tahoma"/>
          <w:sz w:val="20"/>
          <w:szCs w:val="20"/>
          <w:lang w:eastAsia="ru-RU"/>
        </w:rPr>
      </w:pPr>
      <w:r>
        <w:rPr>
          <w:rFonts w:eastAsia="Times New Roman" w:cs="Tahoma" w:ascii="Arial;sans-serif" w:hAnsi="Arial;sans-serif"/>
          <w:b w:val="false"/>
          <w:i w:val="false"/>
          <w:caps w:val="false"/>
          <w:smallCaps w:val="false"/>
          <w:color w:val="000000"/>
          <w:spacing w:val="0"/>
          <w:sz w:val="23"/>
          <w:szCs w:val="20"/>
          <w:lang w:eastAsia="ru-RU"/>
        </w:rPr>
        <w:t>Контактная информация: Барабашин Тимофей Олегович </w:t>
      </w:r>
      <w:r>
        <w:rPr>
          <w:rFonts w:eastAsia="Times New Roman" w:cs="Tahoma" w:ascii="Arial;sans-serif" w:hAnsi="Arial;sans-serif"/>
          <w:b w:val="false"/>
          <w:i w:val="false"/>
          <w:caps w:val="false"/>
          <w:smallCaps w:val="false"/>
          <w:color w:val="000000"/>
          <w:spacing w:val="0"/>
          <w:sz w:val="20"/>
          <w:szCs w:val="20"/>
          <w:lang w:eastAsia="ru-RU"/>
        </w:rPr>
        <w:t>8</w:t>
      </w:r>
      <w:r>
        <w:rPr>
          <w:rFonts w:eastAsia="Times New Roman" w:cs="Tahoma" w:ascii="Arial;sans-serif" w:hAnsi="Arial;sans-serif"/>
          <w:b w:val="false"/>
          <w:i w:val="false"/>
          <w:caps w:val="false"/>
          <w:smallCaps w:val="false"/>
          <w:color w:val="000000"/>
          <w:spacing w:val="0"/>
          <w:sz w:val="24"/>
          <w:szCs w:val="20"/>
          <w:lang w:eastAsia="ru-RU"/>
        </w:rPr>
        <w:t>(863)262-48-50 (приемная)</w:t>
      </w:r>
      <w:r>
        <w:rPr>
          <w:rFonts w:eastAsia="Times New Roman" w:cs="Tahoma" w:ascii="Tahoma" w:hAnsi="Tahoma"/>
          <w:sz w:val="20"/>
          <w:szCs w:val="20"/>
          <w:lang w:eastAsia="ru-RU"/>
        </w:rPr>
        <w:t xml:space="preserve"> </w:t>
      </w:r>
    </w:p>
    <w:p>
      <w:pPr>
        <w:pStyle w:val="Normal"/>
        <w:shd w:val="clear" w:color="auto" w:fill="FFFFFF"/>
        <w:spacing w:lineRule="auto" w:line="240" w:before="0" w:after="0"/>
        <w:ind w:left="240" w:hanging="0"/>
        <w:jc w:val="both"/>
        <w:rPr>
          <w:rFonts w:ascii="Tahoma" w:hAnsi="Tahoma" w:eastAsia="Times New Roman" w:cs="Tahoma"/>
          <w:sz w:val="20"/>
          <w:szCs w:val="20"/>
          <w:lang w:eastAsia="ru-RU"/>
        </w:rPr>
      </w:pPr>
      <w:r>
        <w:rPr>
          <w:rFonts w:eastAsia="Times New Roman" w:cs="Tahoma" w:ascii="Tahoma" w:hAnsi="Tahoma"/>
          <w:sz w:val="20"/>
          <w:szCs w:val="20"/>
          <w:lang w:eastAsia="ru-RU"/>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altName w:val="sans-serif"/>
    <w:charset w:val="cc"/>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82d85"/>
    <w:rPr>
      <w:b/>
      <w:bCs/>
    </w:rPr>
  </w:style>
  <w:style w:type="character" w:styleId="ListLabel1">
    <w:name w:val="ListLabel 1"/>
    <w:qFormat/>
    <w:rPr>
      <w:rFonts w:ascii="Tahoma" w:hAnsi="Tahoma"/>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ahoma" w:hAnsi="Tahoma"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e82d8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LibreOffice/5.2.1.2$Windows_x86 LibreOffice_project/31dd62db80d4e60af04904455ec9c9219178d620</Application>
  <Pages>2</Pages>
  <Words>531</Words>
  <Characters>4290</Characters>
  <CharactersWithSpaces>4789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2019-07-04T11:34:00Z</dcterms:created>
  <dc:creator>Татьяна Е. Баскакова</dc:creator>
  <dc:description/>
  <dc:language>ru-RU</dc:language>
  <cp:lastModifiedBy/>
  <dcterms:modified xsi:type="dcterms:W3CDTF">2019-07-05T16:38:58Z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